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394CF5" w:rsidRDefault="00900010" w:rsidP="00394C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24.12.2020 № 208</w:t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</w:p>
    <w:p w:rsidR="00394CF5" w:rsidRPr="00BA49A6" w:rsidRDefault="00394CF5" w:rsidP="00394CF5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394CF5" w:rsidRPr="005674BC" w:rsidRDefault="00394CF5" w:rsidP="00394CF5">
      <w:pPr>
        <w:ind w:firstLine="709"/>
        <w:jc w:val="both"/>
        <w:rPr>
          <w:b/>
          <w:sz w:val="16"/>
          <w:szCs w:val="16"/>
        </w:rPr>
      </w:pP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221F43">
        <w:rPr>
          <w:b/>
        </w:rPr>
        <w:t>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394CF5" w:rsidRPr="00180F7F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221F43">
        <w:rPr>
          <w:b/>
        </w:rPr>
        <w:t>2022</w:t>
      </w:r>
      <w:r w:rsidRPr="00180F7F">
        <w:rPr>
          <w:b/>
        </w:rPr>
        <w:t xml:space="preserve"> и </w:t>
      </w:r>
      <w:r w:rsidR="00221F43">
        <w:rPr>
          <w:b/>
        </w:rPr>
        <w:t>2023</w:t>
      </w:r>
      <w:r w:rsidRPr="00180F7F">
        <w:rPr>
          <w:b/>
        </w:rPr>
        <w:t xml:space="preserve"> годов </w:t>
      </w:r>
    </w:p>
    <w:p w:rsidR="00394CF5" w:rsidRDefault="00394CF5" w:rsidP="00394CF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 xml:space="preserve">Федеральным </w:t>
      </w:r>
      <w:proofErr w:type="gramStart"/>
      <w:r w:rsidRPr="00FB1FDA">
        <w:rPr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</w:t>
      </w:r>
      <w:proofErr w:type="gramEnd"/>
      <w:r w:rsidRPr="00AA44A2">
        <w:rPr>
          <w:sz w:val="28"/>
          <w:szCs w:val="28"/>
        </w:rPr>
        <w:t xml:space="preserve"> поселения</w:t>
      </w:r>
    </w:p>
    <w:p w:rsidR="00394CF5" w:rsidRPr="00F021EA" w:rsidRDefault="00394CF5" w:rsidP="00394C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394CF5" w:rsidRPr="001610FD" w:rsidRDefault="00394CF5" w:rsidP="00394C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4C40DC">
        <w:rPr>
          <w:sz w:val="28"/>
          <w:szCs w:val="28"/>
        </w:rPr>
        <w:t>16</w:t>
      </w:r>
      <w:r w:rsidR="004C40DC" w:rsidRPr="004C40DC">
        <w:rPr>
          <w:sz w:val="28"/>
          <w:szCs w:val="28"/>
        </w:rPr>
        <w:t>560,0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C40DC">
        <w:rPr>
          <w:sz w:val="28"/>
          <w:szCs w:val="28"/>
        </w:rPr>
        <w:t>12</w:t>
      </w:r>
      <w:r w:rsidR="004C40DC" w:rsidRPr="004C40DC">
        <w:rPr>
          <w:sz w:val="28"/>
          <w:szCs w:val="28"/>
        </w:rPr>
        <w:t>090,4</w:t>
      </w:r>
      <w:r w:rsidRPr="000D2306">
        <w:rPr>
          <w:sz w:val="28"/>
          <w:szCs w:val="28"/>
        </w:rPr>
        <w:t>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4C40DC">
        <w:rPr>
          <w:sz w:val="28"/>
          <w:szCs w:val="28"/>
        </w:rPr>
        <w:t>16</w:t>
      </w:r>
      <w:r w:rsidR="004C40DC" w:rsidRPr="004C40DC">
        <w:rPr>
          <w:sz w:val="28"/>
          <w:szCs w:val="28"/>
        </w:rPr>
        <w:t>860,0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4C40DC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4C40DC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 w:rsidR="004C40DC">
        <w:rPr>
          <w:sz w:val="28"/>
          <w:szCs w:val="28"/>
        </w:rPr>
        <w:t>7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поступлений. 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годов:</w:t>
      </w:r>
    </w:p>
    <w:p w:rsidR="00394CF5" w:rsidRPr="004E340F" w:rsidRDefault="00394CF5" w:rsidP="00394CF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221F4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4C40DC">
        <w:rPr>
          <w:sz w:val="28"/>
          <w:szCs w:val="28"/>
        </w:rPr>
        <w:t>15</w:t>
      </w:r>
      <w:r w:rsidR="004C40DC" w:rsidRPr="004C40DC">
        <w:rPr>
          <w:sz w:val="28"/>
          <w:szCs w:val="28"/>
        </w:rPr>
        <w:t>800,0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4C40DC">
        <w:rPr>
          <w:bCs/>
          <w:color w:val="000000"/>
          <w:sz w:val="28"/>
          <w:szCs w:val="28"/>
        </w:rPr>
        <w:t>11</w:t>
      </w:r>
      <w:r w:rsidR="004C40DC" w:rsidRPr="004C40DC">
        <w:rPr>
          <w:bCs/>
          <w:color w:val="000000"/>
          <w:sz w:val="28"/>
          <w:szCs w:val="28"/>
        </w:rPr>
        <w:t>190,2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15</w:t>
      </w:r>
      <w:r w:rsidR="004C40DC" w:rsidRPr="004C40DC">
        <w:rPr>
          <w:sz w:val="28"/>
          <w:szCs w:val="28"/>
        </w:rPr>
        <w:t>350,0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C40DC">
        <w:rPr>
          <w:sz w:val="28"/>
          <w:szCs w:val="28"/>
        </w:rPr>
        <w:t>10</w:t>
      </w:r>
      <w:r w:rsidR="004C40DC" w:rsidRPr="004C40DC">
        <w:rPr>
          <w:sz w:val="28"/>
          <w:szCs w:val="28"/>
        </w:rPr>
        <w:t>547,9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  <w:proofErr w:type="gramEnd"/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16000</w:t>
      </w:r>
      <w:r w:rsidR="004C40DC" w:rsidRPr="004C40DC">
        <w:rPr>
          <w:sz w:val="28"/>
          <w:szCs w:val="28"/>
        </w:rPr>
        <w:t>,0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209C9">
        <w:rPr>
          <w:sz w:val="28"/>
          <w:szCs w:val="28"/>
        </w:rPr>
        <w:t>395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221F43">
        <w:rPr>
          <w:sz w:val="28"/>
          <w:szCs w:val="28"/>
        </w:rPr>
        <w:t>2023</w:t>
      </w:r>
      <w:r w:rsidRPr="003A2A96">
        <w:rPr>
          <w:sz w:val="28"/>
          <w:szCs w:val="28"/>
        </w:rPr>
        <w:t xml:space="preserve"> год в сумме </w:t>
      </w:r>
      <w:r w:rsidR="009A26C0">
        <w:rPr>
          <w:sz w:val="28"/>
          <w:szCs w:val="28"/>
        </w:rPr>
        <w:t>15450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9A26C0">
        <w:rPr>
          <w:sz w:val="28"/>
          <w:szCs w:val="28"/>
        </w:rPr>
        <w:t>767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9A26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9A26C0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 w:rsidR="009A26C0">
        <w:rPr>
          <w:sz w:val="28"/>
          <w:szCs w:val="28"/>
        </w:rPr>
        <w:t>5</w:t>
      </w:r>
      <w:r w:rsidRPr="0071672B">
        <w:rPr>
          <w:sz w:val="28"/>
          <w:szCs w:val="28"/>
        </w:rPr>
        <w:t xml:space="preserve"> % </w:t>
      </w:r>
      <w:r w:rsidRPr="0071672B">
        <w:rPr>
          <w:sz w:val="28"/>
          <w:szCs w:val="28"/>
        </w:rPr>
        <w:lastRenderedPageBreak/>
        <w:t>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Pr="008E3F4F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размер дефицита бюджета </w:t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9A26C0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9A26C0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поступлений, 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плановом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394CF5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394CF5" w:rsidRPr="00785DC6" w:rsidRDefault="00394CF5" w:rsidP="00394CF5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D99">
        <w:rPr>
          <w:rFonts w:ascii="Times New Roman" w:hAnsi="Times New Roman" w:cs="Times New Roman"/>
          <w:sz w:val="28"/>
          <w:szCs w:val="28"/>
        </w:rPr>
        <w:t xml:space="preserve">перечень  главных администраторов доходов бюджета Черемховского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D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Черемховского сельского поселения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сельского поселения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A65B9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5B9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BD12D9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годов</w:t>
      </w:r>
      <w:r w:rsidRPr="000D230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8,9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BD12D9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10,11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14,15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16,17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F1168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18,19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20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21 к настоящему решению;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 xml:space="preserve"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221F43">
        <w:rPr>
          <w:sz w:val="28"/>
          <w:szCs w:val="28"/>
        </w:rPr>
        <w:t>2021</w:t>
      </w:r>
      <w:r w:rsidRPr="005D6F24">
        <w:rPr>
          <w:sz w:val="28"/>
          <w:szCs w:val="28"/>
        </w:rPr>
        <w:t xml:space="preserve"> год и на плановый период </w:t>
      </w:r>
      <w:r w:rsidR="00221F43">
        <w:rPr>
          <w:sz w:val="28"/>
          <w:szCs w:val="28"/>
        </w:rPr>
        <w:t>2022</w:t>
      </w:r>
      <w:r w:rsidRPr="005D6F24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5D6F24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22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889,8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926,0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985,7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 w:rsidR="009A2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9. Установить: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444,6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584,8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772,1</w:t>
      </w:r>
      <w:r w:rsidRPr="000D2306">
        <w:rPr>
          <w:sz w:val="28"/>
          <w:szCs w:val="28"/>
        </w:rPr>
        <w:t xml:space="preserve"> тыс. рублей.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 w:rsidR="009A26C0"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C6C">
        <w:rPr>
          <w:rFonts w:ascii="Times New Roman" w:hAnsi="Times New Roman" w:cs="Times New Roman"/>
          <w:sz w:val="28"/>
          <w:szCs w:val="28"/>
        </w:rPr>
        <w:t>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DC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случае изменения в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источников финансирования дефицита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557B2F">
        <w:rPr>
          <w:rFonts w:ascii="Times New Roman" w:hAnsi="Times New Roman" w:cs="Times New Roman"/>
          <w:sz w:val="28"/>
          <w:szCs w:val="28"/>
        </w:rPr>
        <w:t>ешение.</w:t>
      </w:r>
      <w:proofErr w:type="gramEnd"/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13.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394CF5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Default="00394CF5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394CF5" w:rsidRPr="00D147D3" w:rsidRDefault="00394CF5" w:rsidP="00394CF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394CF5" w:rsidRDefault="00394CF5" w:rsidP="00394CF5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 w:rsidR="00221F43">
        <w:t>2021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482511" w:rsidRPr="000576F5" w:rsidTr="008B2B0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4 444,6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F43">
              <w:rPr>
                <w:sz w:val="20"/>
                <w:szCs w:val="20"/>
              </w:rPr>
              <w:t>инжекторных</w:t>
            </w:r>
            <w:proofErr w:type="spellEnd"/>
            <w:r w:rsidRPr="00221F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937,0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A26C0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A26C0" w:rsidRPr="000576F5" w:rsidTr="008B2B0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0576F5" w:rsidTr="008B2B0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12 115,4</w:t>
            </w:r>
          </w:p>
        </w:tc>
      </w:tr>
      <w:tr w:rsidR="009A26C0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12 090,4</w:t>
            </w:r>
          </w:p>
        </w:tc>
      </w:tr>
      <w:tr w:rsidR="009A26C0" w:rsidRPr="000576F5" w:rsidTr="008B2B0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9A26C0" w:rsidRPr="000576F5" w:rsidTr="008B2B0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9A26C0" w:rsidRPr="000576F5" w:rsidTr="008B2B0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706,3</w:t>
            </w:r>
          </w:p>
        </w:tc>
      </w:tr>
      <w:tr w:rsidR="009A26C0" w:rsidRPr="000576F5" w:rsidTr="008B2B0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706,3</w:t>
            </w:r>
          </w:p>
        </w:tc>
      </w:tr>
      <w:tr w:rsidR="009A26C0" w:rsidRPr="000576F5" w:rsidTr="008B2B0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9A26C0" w:rsidRPr="000576F5" w:rsidTr="008B2B0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A26C0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9A26C0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A26C0" w:rsidRPr="000576F5" w:rsidTr="008B2B0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9A26C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A26C0" w:rsidRPr="000576F5" w:rsidTr="008B2B0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221F43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221F43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9A26C0" w:rsidRDefault="009A26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A26C0">
              <w:rPr>
                <w:b/>
                <w:bCs/>
                <w:color w:val="000000"/>
                <w:sz w:val="20"/>
                <w:szCs w:val="20"/>
              </w:rPr>
              <w:t>16 560,0</w:t>
            </w:r>
          </w:p>
        </w:tc>
      </w:tr>
    </w:tbl>
    <w:p w:rsidR="00482511" w:rsidRDefault="00482511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221F43" w:rsidRDefault="00221F43" w:rsidP="00482511">
      <w:pPr>
        <w:jc w:val="center"/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7E7E57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7E7E57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21F43" w:rsidP="00482511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2022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21F43" w:rsidP="00482511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2023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4 772,1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7E57">
              <w:rPr>
                <w:sz w:val="20"/>
                <w:szCs w:val="20"/>
                <w:vertAlign w:val="superscript"/>
              </w:rPr>
              <w:t>1</w:t>
            </w:r>
            <w:r w:rsidRPr="007E7E5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2 765,3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985,7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985,7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456,3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7E57">
              <w:rPr>
                <w:sz w:val="20"/>
                <w:szCs w:val="20"/>
              </w:rPr>
              <w:t>инжекторных</w:t>
            </w:r>
            <w:proofErr w:type="spellEnd"/>
            <w:r w:rsidRPr="007E7E5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596,8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7E7E57">
              <w:rPr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-60,6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-70,1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950,6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180,6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9A26C0" w:rsidRPr="007E7E57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9A26C0" w:rsidRPr="007E7E57" w:rsidTr="008B2B08">
        <w:trPr>
          <w:trHeight w:val="57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9A26C0" w:rsidRPr="007E7E57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A26C0" w:rsidRPr="007E7E57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7E7E57" w:rsidTr="008B2B08">
        <w:trPr>
          <w:trHeight w:val="31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7E7E57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11 215,2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10 577,9</w:t>
            </w:r>
          </w:p>
        </w:tc>
      </w:tr>
      <w:tr w:rsidR="009A26C0" w:rsidRPr="007E7E57" w:rsidTr="008B2B08">
        <w:trPr>
          <w:trHeight w:val="31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11 190,2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10 547,9</w:t>
            </w:r>
          </w:p>
        </w:tc>
      </w:tr>
      <w:tr w:rsidR="009A26C0" w:rsidRPr="007E7E57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10 461,5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9 805,0</w:t>
            </w:r>
          </w:p>
        </w:tc>
      </w:tr>
      <w:tr w:rsidR="009A26C0" w:rsidRPr="007E7E57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10 461,5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9 805,0</w:t>
            </w:r>
          </w:p>
        </w:tc>
      </w:tr>
      <w:tr w:rsidR="009A26C0" w:rsidRPr="007E7E57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</w:tr>
      <w:tr w:rsidR="009A26C0" w:rsidRPr="007E7E57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</w:tr>
      <w:tr w:rsidR="009A26C0" w:rsidRPr="007E7E57" w:rsidTr="008B2B08">
        <w:trPr>
          <w:trHeight w:val="23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9A26C0" w:rsidRPr="007E7E57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A26C0" w:rsidRPr="007E7E57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361,3</w:t>
            </w:r>
          </w:p>
        </w:tc>
      </w:tr>
      <w:tr w:rsidR="009A26C0" w:rsidRPr="007E7E57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15 350,0</w:t>
            </w:r>
          </w:p>
        </w:tc>
      </w:tr>
    </w:tbl>
    <w:p w:rsidR="0053643E" w:rsidRDefault="0053643E" w:rsidP="00482511">
      <w:pPr>
        <w:ind w:left="6804" w:hanging="141"/>
        <w:rPr>
          <w:sz w:val="16"/>
          <w:szCs w:val="16"/>
        </w:rPr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221F43" w:rsidRDefault="00221F43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CF5">
              <w:rPr>
                <w:sz w:val="20"/>
                <w:szCs w:val="20"/>
              </w:rPr>
              <w:t>инжекторных</w:t>
            </w:r>
            <w:proofErr w:type="spellEnd"/>
            <w:r w:rsidRPr="00394C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4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32BF5" w:rsidRDefault="00900010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Pr="009576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532B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532BF5" w:rsidRDefault="00532BF5" w:rsidP="00532BF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532BF5" w:rsidRPr="003B23AF" w:rsidTr="00522242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532BF5" w:rsidRPr="003B23AF" w:rsidTr="00522242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32BF5" w:rsidRPr="003B23AF" w:rsidTr="00522242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532BF5" w:rsidRPr="003B23AF" w:rsidTr="00522242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B1D">
              <w:rPr>
                <w:color w:val="000000"/>
                <w:sz w:val="20"/>
                <w:szCs w:val="20"/>
              </w:rPr>
              <w:t>(учреждени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34B1D">
              <w:rPr>
                <w:color w:val="000000"/>
                <w:sz w:val="20"/>
                <w:szCs w:val="20"/>
              </w:rPr>
              <w:t xml:space="preserve"> культуры)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A0B" w:rsidRPr="003B23AF" w:rsidTr="00335A0B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335A0B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335A0B" w:rsidRDefault="00335A0B" w:rsidP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A0B" w:rsidRPr="003B23AF" w:rsidTr="00522242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13B0E" w:rsidRDefault="00335A0B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35A0B" w:rsidRPr="003B23AF" w:rsidTr="00522242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A3D38" w:rsidRDefault="00335A0B" w:rsidP="00522242">
            <w:pPr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Безвозмездные поступления *(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A3D38">
              <w:rPr>
                <w:color w:val="000000"/>
                <w:sz w:val="20"/>
                <w:szCs w:val="20"/>
              </w:rPr>
              <w:t>) *(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32BF5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>) В част</w:t>
      </w:r>
      <w:r w:rsidR="008B2B08">
        <w:rPr>
          <w:rFonts w:ascii="Times New Roman" w:hAnsi="Times New Roman" w:cs="Times New Roman"/>
          <w:sz w:val="20"/>
          <w:szCs w:val="20"/>
        </w:rPr>
        <w:t>и доходов, зачисляемых в бюджет</w:t>
      </w:r>
      <w:r w:rsidRPr="008A0D38">
        <w:rPr>
          <w:rFonts w:ascii="Times New Roman" w:hAnsi="Times New Roman" w:cs="Times New Roman"/>
          <w:sz w:val="20"/>
          <w:szCs w:val="20"/>
        </w:rPr>
        <w:t xml:space="preserve"> </w:t>
      </w:r>
      <w:r w:rsidR="008B2B08">
        <w:rPr>
          <w:rFonts w:ascii="Times New Roman" w:hAnsi="Times New Roman" w:cs="Times New Roman"/>
          <w:sz w:val="20"/>
          <w:szCs w:val="20"/>
        </w:rPr>
        <w:t xml:space="preserve">Черемховского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8A0D38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8A0D38">
        <w:rPr>
          <w:rFonts w:ascii="Times New Roman" w:hAnsi="Times New Roman" w:cs="Times New Roman"/>
          <w:sz w:val="20"/>
          <w:szCs w:val="20"/>
        </w:rPr>
        <w:t xml:space="preserve"> коде бюджетной классификации</w:t>
      </w:r>
    </w:p>
    <w:p w:rsidR="00532BF5" w:rsidRDefault="00532BF5" w:rsidP="00532BF5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7E7E57" w:rsidRDefault="007E7E57" w:rsidP="00522242">
      <w:pPr>
        <w:ind w:left="6804" w:hanging="141"/>
        <w:rPr>
          <w:sz w:val="16"/>
          <w:szCs w:val="16"/>
        </w:rPr>
      </w:pPr>
    </w:p>
    <w:p w:rsidR="009A26C0" w:rsidRDefault="009A26C0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Pr="009576F5" w:rsidRDefault="00522242" w:rsidP="00522242">
      <w:pPr>
        <w:jc w:val="center"/>
      </w:pPr>
      <w:r>
        <w:t xml:space="preserve">Перечень </w:t>
      </w:r>
      <w:r w:rsidRPr="00B21693">
        <w:t xml:space="preserve">главных </w:t>
      </w:r>
      <w:proofErr w:type="gramStart"/>
      <w:r>
        <w:t>а</w:t>
      </w:r>
      <w:r w:rsidRPr="009576F5">
        <w:t>дминистратор</w:t>
      </w:r>
      <w:r>
        <w:t>ов</w:t>
      </w:r>
      <w:r w:rsidRPr="009576F5">
        <w:t xml:space="preserve"> источников финансирования дефицита бюджета</w:t>
      </w:r>
      <w:proofErr w:type="gramEnd"/>
    </w:p>
    <w:p w:rsidR="00522242" w:rsidRDefault="00522242" w:rsidP="00522242">
      <w:pPr>
        <w:jc w:val="center"/>
      </w:pPr>
      <w:r w:rsidRPr="009576F5">
        <w:t xml:space="preserve">Черемховского сельского поселения </w:t>
      </w:r>
    </w:p>
    <w:p w:rsidR="00522242" w:rsidRDefault="00522242" w:rsidP="00522242">
      <w:pPr>
        <w:jc w:val="center"/>
      </w:pPr>
    </w:p>
    <w:tbl>
      <w:tblPr>
        <w:tblW w:w="9420" w:type="dxa"/>
        <w:jc w:val="center"/>
        <w:tblInd w:w="95" w:type="dxa"/>
        <w:tblLook w:val="04A0"/>
      </w:tblPr>
      <w:tblGrid>
        <w:gridCol w:w="1720"/>
        <w:gridCol w:w="2140"/>
        <w:gridCol w:w="5560"/>
      </w:tblGrid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 xml:space="preserve">Код администратора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</w:tr>
      <w:tr w:rsidR="00522242" w:rsidRPr="0041757B" w:rsidTr="00522242">
        <w:trPr>
          <w:trHeight w:val="255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ИНН 3820010330 КПП 385101001 ОКАТО 25248843000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jc w:val="both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7 731,8</w:t>
            </w:r>
          </w:p>
        </w:tc>
      </w:tr>
      <w:tr w:rsidR="00A67F60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1 076,8</w:t>
            </w:r>
          </w:p>
        </w:tc>
      </w:tr>
      <w:tr w:rsidR="00A67F60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6 282,5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353,7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343,5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343,5</w:t>
            </w:r>
          </w:p>
        </w:tc>
      </w:tr>
      <w:tr w:rsidR="00A67F60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437,0</w:t>
            </w:r>
          </w:p>
        </w:tc>
      </w:tr>
      <w:tr w:rsidR="00A67F60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437,0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889,8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889,8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1 740,9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694,0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1 046,9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9,0</w:t>
            </w:r>
          </w:p>
        </w:tc>
      </w:tr>
      <w:tr w:rsidR="00A67F60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5 049,3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5 049,3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bCs/>
                <w:sz w:val="20"/>
                <w:szCs w:val="20"/>
              </w:rPr>
            </w:pPr>
            <w:r w:rsidRPr="00A67F60">
              <w:rPr>
                <w:bCs/>
                <w:sz w:val="20"/>
                <w:szCs w:val="20"/>
              </w:rPr>
              <w:t>16 860,0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652AB0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652AB0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522242" w:rsidRPr="00652AB0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652AB0" w:rsidRDefault="00221F43" w:rsidP="00002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2022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652AB0" w:rsidRDefault="00221F43" w:rsidP="00002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2023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6 715,2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6 323,8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1 076,8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1 076,8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5 234,0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361,3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361,3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87,0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87,0</w:t>
            </w:r>
          </w:p>
        </w:tc>
      </w:tr>
      <w:tr w:rsidR="00A67F60" w:rsidRPr="00652AB0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985,7</w:t>
            </w:r>
          </w:p>
        </w:tc>
      </w:tr>
      <w:tr w:rsidR="00A67F60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985,7</w:t>
            </w:r>
          </w:p>
        </w:tc>
      </w:tr>
      <w:tr w:rsidR="00A67F60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1 528,8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1 591,8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255,0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1 131,8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1 336,8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4 273,7</w:t>
            </w:r>
          </w:p>
        </w:tc>
      </w:tr>
      <w:tr w:rsidR="00A67F60" w:rsidRPr="00652AB0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5 139,2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4 273,7</w:t>
            </w:r>
          </w:p>
        </w:tc>
      </w:tr>
      <w:tr w:rsidR="00A67F60" w:rsidRPr="00652AB0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468,0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315,0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315,0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120,0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120,0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150,7</w:t>
            </w:r>
          </w:p>
        </w:tc>
      </w:tr>
      <w:tr w:rsidR="00A67F60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7F60" w:rsidRPr="00A67F60" w:rsidRDefault="00A67F60">
            <w:pPr>
              <w:jc w:val="right"/>
              <w:rPr>
                <w:bCs/>
                <w:sz w:val="20"/>
                <w:szCs w:val="20"/>
              </w:rPr>
            </w:pPr>
            <w:r w:rsidRPr="00A67F60">
              <w:rPr>
                <w:bCs/>
                <w:sz w:val="20"/>
                <w:szCs w:val="20"/>
              </w:rPr>
              <w:t>15 605,0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F60" w:rsidRPr="00A67F60" w:rsidRDefault="00A67F60">
            <w:pPr>
              <w:jc w:val="right"/>
              <w:rPr>
                <w:bCs/>
                <w:sz w:val="20"/>
                <w:szCs w:val="20"/>
              </w:rPr>
            </w:pPr>
            <w:r w:rsidRPr="00A67F60">
              <w:rPr>
                <w:bCs/>
                <w:sz w:val="20"/>
                <w:szCs w:val="20"/>
              </w:rPr>
              <w:t>14 683,0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16 860,0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7 731,8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249,8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6 282,5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4 499,0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52AB0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1 358,7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79,4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надлежащего состояния источников </w:t>
            </w:r>
            <w:r w:rsidRPr="00652AB0">
              <w:rPr>
                <w:sz w:val="20"/>
                <w:szCs w:val="20"/>
              </w:rPr>
              <w:lastRenderedPageBreak/>
              <w:t>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856,0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780,0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652AB0">
              <w:rPr>
                <w:sz w:val="20"/>
                <w:szCs w:val="20"/>
              </w:rPr>
              <w:t>зем</w:t>
            </w:r>
            <w:proofErr w:type="spellEnd"/>
            <w:r w:rsidRPr="00652AB0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1 740,9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652AB0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996,9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829,5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102,4 </w:t>
            </w:r>
          </w:p>
        </w:tc>
      </w:tr>
      <w:tr w:rsidR="00F22FEF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6,0 </w:t>
            </w:r>
          </w:p>
        </w:tc>
      </w:tr>
      <w:tr w:rsidR="00F22FEF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2 084,3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629,4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2 293,0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2 232,0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61,0 </w:t>
            </w:r>
          </w:p>
        </w:tc>
      </w:tr>
      <w:tr w:rsidR="00F22FEF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52AB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22FEF" w:rsidRPr="00652AB0" w:rsidRDefault="00F22FEF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22FEF" w:rsidRPr="00652AB0" w:rsidRDefault="00F22FEF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Pr="00652AB0" w:rsidRDefault="00652AB0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F22FEF" w:rsidRDefault="00F22FEF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14 683,0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6 323,8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1 076,8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827,0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249,8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5 234,0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5 126,0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5 125,3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5 125,3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52AB0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5 125,3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5 125,3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3 766,6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1 358,7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361,3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361,3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361,3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361,3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361,3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359,8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359,8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276,4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83,4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1,5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1,5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1,5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87,0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87,0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87,0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985,7 </w:t>
            </w:r>
          </w:p>
        </w:tc>
      </w:tr>
      <w:tr w:rsidR="00652AB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985,7 </w:t>
            </w:r>
          </w:p>
        </w:tc>
      </w:tr>
      <w:tr w:rsidR="00652AB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945,0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920,0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1 591,8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180,0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1 336,8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1 336,8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1 146,8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776,8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396,8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364,0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145,0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52AB0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4 273,7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4 273,7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2 713,7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2 084,3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629,4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1 480,0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1 414,0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A67F60" w:rsidRDefault="00A67F60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0,0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A67F60" w:rsidRDefault="00A67F60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0,0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A67F60" w:rsidRDefault="00A67F60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0,0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A67F60" w:rsidRDefault="00A67F60">
            <w:pPr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0,0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1 384,0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1 384,0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1 384,0 </w:t>
            </w:r>
          </w:p>
        </w:tc>
      </w:tr>
      <w:tr w:rsidR="00A67F6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67F60" w:rsidRPr="00652AB0" w:rsidRDefault="00A67F6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7F60" w:rsidRPr="00A67F60" w:rsidRDefault="00A67F60">
            <w:pPr>
              <w:jc w:val="right"/>
              <w:rPr>
                <w:sz w:val="20"/>
                <w:szCs w:val="20"/>
              </w:rPr>
            </w:pPr>
            <w:r w:rsidRPr="00A67F60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A67F60" w:rsidRPr="00652AB0" w:rsidRDefault="00A67F6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1 384,0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16,0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проведения праздничных, памятных, </w:t>
            </w:r>
            <w:r w:rsidRPr="00652AB0">
              <w:rPr>
                <w:sz w:val="20"/>
                <w:szCs w:val="20"/>
              </w:rPr>
              <w:lastRenderedPageBreak/>
              <w:t>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70,0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30,0 </w:t>
            </w:r>
          </w:p>
        </w:tc>
      </w:tr>
      <w:tr w:rsidR="00652AB0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Выплата пенсии за выслугу лет гражданам, </w:t>
            </w:r>
            <w:r w:rsidRPr="00652AB0">
              <w:rPr>
                <w:sz w:val="20"/>
                <w:szCs w:val="20"/>
              </w:rPr>
              <w:lastRenderedPageBreak/>
              <w:t>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468,0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315,0 </w:t>
            </w:r>
          </w:p>
        </w:tc>
      </w:tr>
      <w:tr w:rsidR="00652AB0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315,0 </w:t>
            </w:r>
          </w:p>
        </w:tc>
      </w:tr>
      <w:tr w:rsidR="00652AB0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315,0 </w:t>
            </w:r>
          </w:p>
        </w:tc>
      </w:tr>
      <w:tr w:rsidR="00652AB0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652AB0">
              <w:rPr>
                <w:sz w:val="20"/>
                <w:szCs w:val="20"/>
              </w:rPr>
              <w:t>с</w:t>
            </w:r>
            <w:proofErr w:type="gramStart"/>
            <w:r w:rsidRPr="00652AB0">
              <w:rPr>
                <w:sz w:val="20"/>
                <w:szCs w:val="20"/>
              </w:rPr>
              <w:t>.Р</w:t>
            </w:r>
            <w:proofErr w:type="gramEnd"/>
            <w:r w:rsidRPr="00652AB0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300,0 </w:t>
            </w:r>
          </w:p>
        </w:tc>
      </w:tr>
      <w:tr w:rsidR="00652AB0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15,0 </w:t>
            </w:r>
          </w:p>
        </w:tc>
      </w:tr>
      <w:tr w:rsidR="00652AB0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280,0 </w:t>
            </w:r>
          </w:p>
        </w:tc>
      </w:tr>
      <w:tr w:rsidR="00652AB0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280,0 </w:t>
            </w:r>
          </w:p>
        </w:tc>
      </w:tr>
      <w:tr w:rsidR="00652AB0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280,0 </w:t>
            </w:r>
          </w:p>
        </w:tc>
      </w:tr>
      <w:tr w:rsidR="00652AB0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280,0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5,0 </w:t>
            </w:r>
          </w:p>
        </w:tc>
      </w:tr>
      <w:tr w:rsidR="00652AB0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120,0 </w:t>
            </w:r>
          </w:p>
        </w:tc>
      </w:tr>
      <w:tr w:rsidR="00652AB0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120,0 </w:t>
            </w:r>
          </w:p>
        </w:tc>
      </w:tr>
      <w:tr w:rsidR="00652AB0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120,0 </w:t>
            </w:r>
          </w:p>
        </w:tc>
      </w:tr>
      <w:tr w:rsidR="00652AB0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120,0 </w:t>
            </w:r>
          </w:p>
        </w:tc>
      </w:tr>
      <w:tr w:rsidR="00652AB0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120,0 </w:t>
            </w:r>
          </w:p>
        </w:tc>
      </w:tr>
      <w:tr w:rsidR="00652AB0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120,0 </w:t>
            </w:r>
          </w:p>
        </w:tc>
      </w:tr>
      <w:tr w:rsidR="00652AB0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52AB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150,7 </w:t>
            </w:r>
          </w:p>
        </w:tc>
      </w:tr>
      <w:tr w:rsidR="00652AB0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</w:tr>
      <w:tr w:rsidR="00652AB0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82,5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31,3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</w:tr>
      <w:tr w:rsidR="00652AB0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52AB0" w:rsidRPr="00652AB0" w:rsidRDefault="00652AB0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52AB0" w:rsidRPr="00652AB0" w:rsidRDefault="00652AB0">
            <w:pPr>
              <w:jc w:val="right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16 860,0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7 731,8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1 076,8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249,8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6 282,5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6 181,3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5 857,7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4 499,0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1 358,7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315,5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627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141,1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212,6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343,5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342,1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79,4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437,0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290,0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889,8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856,0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805,0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780,0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C8627F">
              <w:rPr>
                <w:sz w:val="20"/>
                <w:szCs w:val="20"/>
              </w:rPr>
              <w:t>зем</w:t>
            </w:r>
            <w:proofErr w:type="spellEnd"/>
            <w:r w:rsidRPr="00C8627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1 740,9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644,0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339,0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C8627F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1 046,9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996,9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829,5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256,8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162,7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102,4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97,4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5 049,3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2 713,8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2 713,7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2 084,3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629,4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0,1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2 293,0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учреждений </w:t>
            </w:r>
            <w:r w:rsidRPr="00C8627F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2 232,0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2 194,0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61,0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16,0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627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10,0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468,0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5,0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F22FEF">
        <w:trPr>
          <w:trHeight w:val="25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8627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150,7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82,5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31,3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  <w:tr w:rsidR="00F22FEF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22FEF" w:rsidRPr="00C8627F" w:rsidRDefault="00F22FE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22FEF" w:rsidRPr="00C8627F" w:rsidRDefault="00F22FE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14 683,0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6 323,8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1 076,8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827,0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249,8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5 234,0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5 126,0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5 125,3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5 125,3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8627F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5 125,3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5 125,3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3 766,6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1 358,7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361,3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361,3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361,3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361,3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361,3 </w:t>
            </w:r>
          </w:p>
        </w:tc>
      </w:tr>
      <w:tr w:rsidR="00C8627F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359,8 </w:t>
            </w:r>
          </w:p>
        </w:tc>
      </w:tr>
      <w:tr w:rsidR="00C8627F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359,8 </w:t>
            </w:r>
          </w:p>
        </w:tc>
      </w:tr>
      <w:tr w:rsidR="00C8627F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276,4 </w:t>
            </w:r>
          </w:p>
        </w:tc>
      </w:tr>
      <w:tr w:rsidR="00C8627F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83,4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1,5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1,5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1,5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87,0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87,0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87,0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985,7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985,7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945,0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920,0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1 591,8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180,0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1 336,8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1 336,8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1 146,8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776,8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396,8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364,0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145,0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3474D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627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4 273,7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4 273,7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2 713,7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2 084,3 </w:t>
            </w:r>
          </w:p>
        </w:tc>
      </w:tr>
      <w:tr w:rsidR="00C8627F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629,4 </w:t>
            </w:r>
          </w:p>
        </w:tc>
      </w:tr>
      <w:tr w:rsidR="00C8627F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1 480,0 </w:t>
            </w:r>
          </w:p>
        </w:tc>
      </w:tr>
      <w:tr w:rsidR="00C8627F" w:rsidRPr="004B7C59" w:rsidTr="00F22FEF">
        <w:trPr>
          <w:trHeight w:val="58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1 414,0 </w:t>
            </w:r>
          </w:p>
        </w:tc>
      </w:tr>
      <w:tr w:rsidR="00F22FEF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0,0 </w:t>
            </w:r>
          </w:p>
        </w:tc>
      </w:tr>
      <w:tr w:rsidR="00F22FEF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0,0 </w:t>
            </w:r>
          </w:p>
        </w:tc>
      </w:tr>
      <w:tr w:rsidR="00F22FEF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0,0 </w:t>
            </w:r>
          </w:p>
        </w:tc>
      </w:tr>
      <w:tr w:rsidR="00F22FEF" w:rsidRPr="004B7C59" w:rsidTr="00F22FEF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0,0 </w:t>
            </w:r>
          </w:p>
        </w:tc>
      </w:tr>
      <w:tr w:rsidR="00F22FEF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1 384,0 </w:t>
            </w:r>
          </w:p>
        </w:tc>
      </w:tr>
      <w:tr w:rsidR="00F22FE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1 384,0 </w:t>
            </w:r>
          </w:p>
        </w:tc>
      </w:tr>
      <w:tr w:rsidR="00F22FEF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1 384,0 </w:t>
            </w:r>
          </w:p>
        </w:tc>
      </w:tr>
      <w:tr w:rsidR="00F22FEF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22FEF" w:rsidRPr="00F22FEF" w:rsidRDefault="00F22FEF">
            <w:pPr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F22FEF" w:rsidRPr="00F22FEF" w:rsidRDefault="00F22FEF">
            <w:pPr>
              <w:jc w:val="right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 xml:space="preserve">1 384,0 </w:t>
            </w:r>
          </w:p>
        </w:tc>
      </w:tr>
      <w:tr w:rsidR="00C8627F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66,0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16,0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</w:tr>
      <w:tr w:rsidR="00C8627F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</w:tr>
      <w:tr w:rsidR="00C8627F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20,0 </w:t>
            </w:r>
          </w:p>
        </w:tc>
      </w:tr>
      <w:tr w:rsidR="00C8627F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70,0 </w:t>
            </w:r>
          </w:p>
        </w:tc>
      </w:tr>
      <w:tr w:rsidR="00C8627F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40,0 </w:t>
            </w:r>
          </w:p>
        </w:tc>
      </w:tr>
      <w:tr w:rsidR="00C8627F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10,0 </w:t>
            </w:r>
          </w:p>
        </w:tc>
      </w:tr>
      <w:tr w:rsidR="00C8627F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Выплата пенсии за выслугу лет гражданам, </w:t>
            </w:r>
            <w:r w:rsidRPr="00C8627F">
              <w:rPr>
                <w:sz w:val="20"/>
                <w:szCs w:val="20"/>
              </w:rPr>
              <w:lastRenderedPageBreak/>
              <w:t>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468,0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C8627F">
              <w:rPr>
                <w:sz w:val="20"/>
                <w:szCs w:val="20"/>
              </w:rPr>
              <w:t>с</w:t>
            </w:r>
            <w:proofErr w:type="gramStart"/>
            <w:r w:rsidRPr="00C8627F">
              <w:rPr>
                <w:sz w:val="20"/>
                <w:szCs w:val="20"/>
              </w:rPr>
              <w:t>.Р</w:t>
            </w:r>
            <w:proofErr w:type="gramEnd"/>
            <w:r w:rsidRPr="00C8627F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300,0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280,0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280,0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280,0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280,0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5,0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120,0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8627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150,7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82,5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31,3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</w:tr>
      <w:tr w:rsidR="00C8627F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8627F" w:rsidRPr="00C8627F" w:rsidRDefault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C8627F" w:rsidRPr="00C8627F" w:rsidRDefault="00C8627F">
            <w:pPr>
              <w:jc w:val="right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C8627F" w:rsidRPr="00C8627F" w:rsidTr="00C8627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F22FEF" w:rsidRPr="00C8627F" w:rsidTr="002F7BF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6,0</w:t>
            </w:r>
          </w:p>
        </w:tc>
      </w:tr>
      <w:tr w:rsidR="00F22FEF" w:rsidRPr="00C8627F" w:rsidTr="00C8627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center"/>
            <w:hideMark/>
          </w:tcPr>
          <w:p w:rsidR="00F22FEF" w:rsidRPr="00C8627F" w:rsidRDefault="00F22FEF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Align w:val="center"/>
            <w:hideMark/>
          </w:tcPr>
          <w:p w:rsidR="00F22FEF" w:rsidRPr="00C8627F" w:rsidRDefault="00F22FEF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2293,0</w:t>
            </w:r>
          </w:p>
        </w:tc>
      </w:tr>
      <w:tr w:rsidR="00F22FEF" w:rsidRPr="00C8627F" w:rsidTr="002F7BFA">
        <w:trPr>
          <w:trHeight w:val="47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90,0</w:t>
            </w:r>
          </w:p>
        </w:tc>
      </w:tr>
      <w:tr w:rsidR="00F22FEF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669,0</w:t>
            </w:r>
          </w:p>
        </w:tc>
      </w:tr>
      <w:tr w:rsidR="00F22FEF" w:rsidRPr="00C8627F" w:rsidTr="002F7BFA">
        <w:trPr>
          <w:trHeight w:val="414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25,0</w:t>
            </w:r>
          </w:p>
        </w:tc>
      </w:tr>
      <w:tr w:rsidR="00F22FEF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1046,9</w:t>
            </w:r>
          </w:p>
        </w:tc>
      </w:tr>
      <w:tr w:rsidR="00F22FEF" w:rsidRPr="00C8627F" w:rsidTr="002F7BF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10,5</w:t>
            </w:r>
          </w:p>
        </w:tc>
      </w:tr>
      <w:tr w:rsidR="00F22FEF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437,0</w:t>
            </w:r>
          </w:p>
        </w:tc>
      </w:tr>
      <w:tr w:rsidR="00F22FEF" w:rsidRPr="00C8627F" w:rsidTr="00C8627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32,5</w:t>
            </w:r>
          </w:p>
        </w:tc>
      </w:tr>
      <w:tr w:rsidR="00F22FEF" w:rsidRPr="00C8627F" w:rsidTr="00C8627F">
        <w:trPr>
          <w:trHeight w:val="1290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25,0</w:t>
            </w:r>
          </w:p>
        </w:tc>
      </w:tr>
      <w:tr w:rsidR="00F22FEF" w:rsidRPr="00C8627F" w:rsidTr="00C8627F">
        <w:trPr>
          <w:trHeight w:val="1050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831,0</w:t>
            </w:r>
          </w:p>
        </w:tc>
      </w:tr>
      <w:tr w:rsidR="00F22FEF" w:rsidRPr="00C8627F" w:rsidTr="00C8627F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10,0</w:t>
            </w:r>
          </w:p>
        </w:tc>
      </w:tr>
      <w:tr w:rsidR="00F22FEF" w:rsidRPr="00C8627F" w:rsidTr="00C8627F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35,0</w:t>
            </w:r>
          </w:p>
        </w:tc>
      </w:tr>
      <w:tr w:rsidR="00F22FE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C8627F" w:rsidRDefault="00F22FE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5510,9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C879CE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21F43">
              <w:rPr>
                <w:sz w:val="20"/>
                <w:szCs w:val="20"/>
              </w:rPr>
              <w:t>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21F43">
              <w:rPr>
                <w:sz w:val="20"/>
                <w:szCs w:val="20"/>
              </w:rPr>
              <w:t>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F22FEF" w:rsidRPr="00990C6C" w:rsidTr="00CB6AE1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990C6C" w:rsidRDefault="00F22FEF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F22FEF" w:rsidRPr="00990C6C" w:rsidRDefault="00F22FEF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6,0</w:t>
            </w:r>
          </w:p>
        </w:tc>
      </w:tr>
      <w:tr w:rsidR="00F22FEF" w:rsidRPr="00990C6C" w:rsidTr="00C879CE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990C6C" w:rsidRDefault="00F22FEF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F22FEF" w:rsidRDefault="00F22FEF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F22FEF" w:rsidRDefault="00F22FEF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1377,5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</w:p>
        </w:tc>
      </w:tr>
      <w:tr w:rsidR="00F22FEF" w:rsidRPr="00990C6C" w:rsidTr="00C879CE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22FEF" w:rsidRPr="00990C6C" w:rsidRDefault="00F22FEF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F22FEF" w:rsidRPr="00990C6C" w:rsidRDefault="00F22FEF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F22FEF" w:rsidRPr="00990C6C" w:rsidRDefault="00F22FEF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22FEF" w:rsidRPr="00990C6C" w:rsidRDefault="00F22FEF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F22FEF" w:rsidRDefault="00F22FEF">
            <w:pPr>
              <w:jc w:val="center"/>
              <w:rPr>
                <w:sz w:val="20"/>
                <w:szCs w:val="20"/>
              </w:rPr>
            </w:pPr>
            <w:r w:rsidRPr="00F22FEF">
              <w:rPr>
                <w:sz w:val="20"/>
                <w:szCs w:val="20"/>
              </w:rPr>
              <w:t>1005,5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2FEF" w:rsidRPr="0070117D" w:rsidRDefault="00F22FEF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1480,0</w:t>
            </w:r>
          </w:p>
        </w:tc>
      </w:tr>
      <w:tr w:rsidR="0070117D" w:rsidRPr="00990C6C" w:rsidTr="0070117D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140,0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90,0</w:t>
            </w:r>
          </w:p>
        </w:tc>
      </w:tr>
      <w:tr w:rsidR="0070117D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70,0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0,0</w:t>
            </w:r>
          </w:p>
        </w:tc>
      </w:tr>
      <w:tr w:rsidR="0070117D" w:rsidRPr="00990C6C" w:rsidTr="0070117D">
        <w:trPr>
          <w:trHeight w:val="569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327,0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255,0</w:t>
            </w:r>
          </w:p>
        </w:tc>
      </w:tr>
      <w:tr w:rsidR="0070117D" w:rsidRPr="00990C6C" w:rsidTr="0070117D">
        <w:trPr>
          <w:trHeight w:val="691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1131,8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1336,8</w:t>
            </w:r>
          </w:p>
        </w:tc>
      </w:tr>
      <w:tr w:rsidR="0070117D" w:rsidRPr="00990C6C" w:rsidTr="0070117D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10,5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18,0</w:t>
            </w:r>
          </w:p>
        </w:tc>
      </w:tr>
      <w:tr w:rsidR="0070117D" w:rsidRPr="00990C6C" w:rsidTr="0070117D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137,0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87,0</w:t>
            </w:r>
          </w:p>
        </w:tc>
      </w:tr>
      <w:tr w:rsidR="0070117D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32,5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70,0</w:t>
            </w:r>
          </w:p>
        </w:tc>
      </w:tr>
      <w:tr w:rsidR="0070117D" w:rsidRPr="00990C6C" w:rsidTr="00C879CE">
        <w:trPr>
          <w:trHeight w:val="12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885,0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945,0</w:t>
            </w:r>
          </w:p>
        </w:tc>
      </w:tr>
      <w:tr w:rsidR="0070117D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10,0</w:t>
            </w:r>
          </w:p>
        </w:tc>
      </w:tr>
      <w:tr w:rsidR="0070117D" w:rsidRPr="00990C6C" w:rsidTr="0070117D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130,0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35,0</w:t>
            </w:r>
          </w:p>
        </w:tc>
      </w:tr>
      <w:tr w:rsidR="0070117D" w:rsidRPr="00990C6C" w:rsidTr="0070117D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280,0</w:t>
            </w:r>
          </w:p>
        </w:tc>
      </w:tr>
      <w:tr w:rsidR="0070117D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0117D" w:rsidRPr="00990C6C" w:rsidRDefault="0070117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5259,8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4612,8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 w:rsidR="00221F43">
        <w:t>2021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70117D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221F43">
        <w:t>2022</w:t>
      </w:r>
      <w:r w:rsidRPr="006A4989">
        <w:t xml:space="preserve"> и </w:t>
      </w:r>
      <w:r w:rsidR="00221F43">
        <w:t>2023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70117D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  <w:tr w:rsidR="0070117D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  <w:tr w:rsidR="0070117D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17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 w:rsidR="00221F43">
        <w:t>2021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 w:rsidR="00221F43">
              <w:rPr>
                <w:sz w:val="20"/>
                <w:szCs w:val="20"/>
              </w:rPr>
              <w:t>2022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0F5F5A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</w:tr>
      <w:tr w:rsidR="000F5F5A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C879CE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 w:rsidR="0070117D">
              <w:rPr>
                <w:sz w:val="20"/>
                <w:szCs w:val="20"/>
              </w:rPr>
              <w:t>4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70117D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600,0</w:t>
            </w:r>
          </w:p>
        </w:tc>
      </w:tr>
      <w:tr w:rsidR="0070117D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</w:tr>
      <w:tr w:rsidR="0070117D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600,0</w:t>
            </w:r>
          </w:p>
        </w:tc>
      </w:tr>
      <w:tr w:rsidR="0070117D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20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 w:rsidR="00221F43">
        <w:t>2021</w:t>
      </w:r>
      <w:r w:rsidRPr="00EC7901">
        <w:t xml:space="preserve"> год и на плановый период </w:t>
      </w:r>
      <w:r w:rsidR="00221F43">
        <w:t>2022</w:t>
      </w:r>
      <w:r w:rsidRPr="00EC7901">
        <w:t xml:space="preserve"> и </w:t>
      </w:r>
      <w:r w:rsidR="00221F43">
        <w:t>2023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70117D" w:rsidRPr="001843B8" w:rsidRDefault="0070117D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Default="0070117D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Pr="001843B8" w:rsidRDefault="0070117D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</w:tr>
      <w:tr w:rsidR="0070117D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70117D" w:rsidRPr="001843B8" w:rsidRDefault="0070117D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0117D" w:rsidRPr="001843B8" w:rsidRDefault="0070117D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17D" w:rsidRPr="00F9608C" w:rsidRDefault="0070117D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70117D" w:rsidRPr="00F9608C" w:rsidRDefault="0070117D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70117D" w:rsidRPr="00F9608C" w:rsidRDefault="0070117D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21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221F43">
        <w:rPr>
          <w:bCs/>
        </w:rPr>
        <w:t>2021</w:t>
      </w:r>
      <w:r w:rsidRPr="00D147D3">
        <w:rPr>
          <w:bCs/>
        </w:rPr>
        <w:t xml:space="preserve"> год и на плановый период </w:t>
      </w:r>
      <w:r w:rsidR="00221F43">
        <w:rPr>
          <w:bCs/>
        </w:rPr>
        <w:t>2022</w:t>
      </w:r>
      <w:r w:rsidRPr="00D147D3">
        <w:rPr>
          <w:bCs/>
        </w:rPr>
        <w:t xml:space="preserve"> и </w:t>
      </w:r>
      <w:r w:rsidR="00221F43">
        <w:rPr>
          <w:bCs/>
        </w:rPr>
        <w:t>2023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5201026010</w:t>
      </w:r>
      <w:r w:rsidRPr="00A74996">
        <w:t xml:space="preserve"> «</w:t>
      </w:r>
      <w:r w:rsidRPr="00672510">
        <w:t>Межбюджетные трансферты на осуществление части полномочий поселения по формированию, утверждению,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</w:t>
      </w:r>
      <w:r>
        <w:t>5</w:t>
      </w:r>
      <w:r w:rsidRPr="00672510">
        <w:t>0</w:t>
      </w:r>
      <w:r w:rsidRPr="00A74996">
        <w:t xml:space="preserve"> «</w:t>
      </w:r>
      <w:r w:rsidRPr="00D961C9">
        <w:t>Межбюджетные трансферты на осуществление в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21F43">
        <w:t>2021</w:t>
      </w:r>
      <w:r w:rsidRPr="00C879CE">
        <w:t xml:space="preserve"> год и на плановый период </w:t>
      </w:r>
      <w:r w:rsidR="00221F43">
        <w:t>2022</w:t>
      </w:r>
      <w:r w:rsidRPr="00C879CE">
        <w:t xml:space="preserve"> и </w:t>
      </w:r>
      <w:r w:rsidR="00221F43">
        <w:t>2023</w:t>
      </w:r>
      <w:r w:rsidRPr="00C879CE">
        <w:t xml:space="preserve">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22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 xml:space="preserve">на </w:t>
      </w:r>
      <w:r w:rsidR="00221F43">
        <w:rPr>
          <w:bCs/>
        </w:rPr>
        <w:t>2021</w:t>
      </w:r>
      <w:r w:rsidRPr="00C14FE8">
        <w:rPr>
          <w:bCs/>
        </w:rPr>
        <w:t xml:space="preserve"> год и на плановый период </w:t>
      </w:r>
      <w:r w:rsidR="00221F43">
        <w:rPr>
          <w:bCs/>
        </w:rPr>
        <w:t>2022</w:t>
      </w:r>
      <w:r w:rsidRPr="00C14FE8">
        <w:rPr>
          <w:bCs/>
        </w:rPr>
        <w:t xml:space="preserve"> и </w:t>
      </w:r>
      <w:r w:rsidR="00221F43">
        <w:rPr>
          <w:bCs/>
        </w:rPr>
        <w:t>2023</w:t>
      </w:r>
      <w:r w:rsidRPr="00C14FE8">
        <w:rPr>
          <w:bCs/>
        </w:rPr>
        <w:t xml:space="preserve"> годов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521 06 0</w:t>
      </w:r>
      <w:r>
        <w:t>3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21F43">
        <w:t>2021</w:t>
      </w:r>
      <w:r w:rsidRPr="00C879CE">
        <w:t xml:space="preserve"> год и на плановый период </w:t>
      </w:r>
      <w:r w:rsidR="00221F43">
        <w:t>2022</w:t>
      </w:r>
      <w:r w:rsidRPr="00C879CE">
        <w:t xml:space="preserve"> и </w:t>
      </w:r>
      <w:r w:rsidR="00221F43">
        <w:t>2023</w:t>
      </w:r>
      <w:r w:rsidRPr="00C879CE">
        <w:t xml:space="preserve"> годов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="00260195">
        <w:t xml:space="preserve">Контрольно-счетной </w:t>
      </w:r>
      <w:r w:rsidRPr="00845B45">
        <w:t>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EF" w:rsidRDefault="00F22FEF" w:rsidP="00527E0B">
      <w:r>
        <w:separator/>
      </w:r>
    </w:p>
  </w:endnote>
  <w:endnote w:type="continuationSeparator" w:id="0">
    <w:p w:rsidR="00F22FEF" w:rsidRDefault="00F22FEF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EF" w:rsidRDefault="00F22FEF" w:rsidP="00527E0B">
      <w:r>
        <w:separator/>
      </w:r>
    </w:p>
  </w:footnote>
  <w:footnote w:type="continuationSeparator" w:id="0">
    <w:p w:rsidR="00F22FEF" w:rsidRDefault="00F22FEF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EF" w:rsidRDefault="008E7F96" w:rsidP="00C33E25">
    <w:pPr>
      <w:pStyle w:val="a8"/>
      <w:jc w:val="center"/>
    </w:pPr>
    <w:fldSimple w:instr=" PAGE   \* MERGEFORMAT ">
      <w:r w:rsidR="00900010">
        <w:rPr>
          <w:noProof/>
        </w:rPr>
        <w:t>76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3AFA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626"/>
    <w:rsid w:val="00D43C97"/>
    <w:rsid w:val="00D4486C"/>
    <w:rsid w:val="00D50156"/>
    <w:rsid w:val="00D51D2C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24193</Words>
  <Characters>159266</Characters>
  <Application>Microsoft Office Word</Application>
  <DocSecurity>4</DocSecurity>
  <Lines>1327</Lines>
  <Paragraphs>366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>РОССИЙСКАЯ  ФЕДЕРАЦИЯ</vt:lpstr>
      <vt:lpstr>3. Установить, что доходы бюджета поселения, поступающие в 2021 году и в планово</vt:lpstr>
      <vt:lpstr>1) налоговых доходов, в том числе:</vt:lpstr>
      <vt:lpstr>а) местных налогов в соответствии с нормативами, установленными Бюджетным кодекс</vt:lpstr>
      <vt:lpstr>б) доходов от федеральных налогов и сборов, в том числе налогов, предусмотренных</vt:lpstr>
      <vt:lpstr>2) неналоговых доходов в соответствии с нормативами, установленными Бюджетным ко</vt:lpstr>
      <vt:lpstr>4. В соответствии со статьей 35 Бюджетного кодекса Российской Федерации добровол</vt:lpstr>
      <vt:lpstr>5. Установить:</vt:lpstr>
      <vt:lpstr>- прогнозируемые доходы бюджета на 2021 год и на плановый период 2022 и 2023 год</vt:lpstr>
      <vt:lpstr>- перечень  главных администраторов доходов бюджета Черемховского сельского посе</vt:lpstr>
      <vt:lpstr>- перечень главных администраторов доходов бюджета Черемховского сельского посел</vt:lpstr>
      <vt:lpstr>- перечень главных администраторов источников финансирования дефицита бюджета Че</vt:lpstr>
      <vt:lpstr>- распределение бюджетных ассигнований по разделам и подразделам классификации р</vt:lpstr>
      <vt:lpstr>- распределение бюджетных ассигнований на реализацию муниципальных программ Чере</vt:lpstr>
      <vt:lpstr>- распределение бюджетных ассигнований на исполнение публичных нормативных обяза</vt:lpstr>
      <vt:lpstr>- источники внутреннего финансирования дефицита бюджета на 2021 год и на плановы</vt:lpstr>
      <vt:lpstr>- программу муниципальных внутренних заимствований Черемховского сельского посе</vt:lpstr>
      <vt:lpstr>- распределение иных межбюджетных трансфертов, предоставляемых из бюджета Черем</vt:lpstr>
      <vt:lpstr>- порядок предоставления иных межбюджетных трансфертов, необходимых для осуществ</vt:lpstr>
      <vt:lpstr>6. Утвердить объем бюджетных ассигнований дорожного фонда Черемховского сельског</vt:lpstr>
      <vt:lpstr>- на 2021 год в размере 889,8 тыс. рублей;</vt:lpstr>
      <vt:lpstr>- на 2022 год в размере 926,0 тыс. рублей;</vt:lpstr>
      <vt:lpstr>- на 2023 год в размере 985,7 тыс. рублей.</vt:lpstr>
      <vt:lpstr>7. Установить общий объем бюджетных ассигнований, направляемых на исполнение пуб</vt:lpstr>
      <vt:lpstr>- на 2021 год в размере 468,0 тыс. рублей;</vt:lpstr>
      <vt:lpstr>- на 2022 год в размере 468,0 тыс. рублей;</vt:lpstr>
      <vt:lpstr>- на 2023 год в размере 468,0 тыс. рублей.</vt:lpstr>
      <vt:lpstr>8. Установить, что в расходной части бюджета поселения формируется резервный фон</vt:lpstr>
      <vt:lpstr>- на 2021 год в размере 13,0 тыс. рублей;</vt:lpstr>
      <vt:lpstr>- на 2022 год в размере 13,0 тыс. рублей;</vt:lpstr>
      <vt:lpstr>- на 2023 год в размере 13,0 тыс. рублей.</vt:lpstr>
      <vt:lpstr>9. Установить:</vt:lpstr>
      <vt:lpstr>- верхний предел муниципального внутреннего долга: </vt:lpstr>
      <vt:lpstr>по состоянию на 1 января 2022 года в размере 300,0 тыс. рублей, в том числе ве</vt:lpstr>
      <vt:lpstr>по состоянию на 1 января 2023 года в размере 500,0 тыс. рублей, в том числе ве</vt:lpstr>
      <vt:lpstr>по состоянию на 1 января 2024 года в размере 600,0 тыс. рублей, в том числе ве</vt:lpstr>
      <vt:lpstr>10. Установить, что при исполнении бюджета поселения на 2021 год и на плановый </vt:lpstr>
      <vt:lpstr>- оплата труда (с начислениями);</vt:lpstr>
      <vt:lpstr>- мероприятия по подготовке к зиме жилищно-коммунального хозяйства;</vt:lpstr>
      <vt:lpstr>- оплата коммунальных услуг.</vt:lpstr>
      <vt:lpstr>11. Установить, что остатки средств бюджета поселения на начало текущего финансо</vt:lpstr>
      <vt:lpstr>12. Установить, что в случае изменения в 2021-2023 годах состава и (или) функций</vt:lpstr>
      <vt:lpstr>13. Администрации Черемховского сельского поселения опубликовать настоящее решен</vt:lpstr>
      <vt:lpstr>14. Настоящее решение вступает в силу со дня его официального опубликования, но </vt:lpstr>
    </vt:vector>
  </TitlesOfParts>
  <Company>Администрация</Company>
  <LinksUpToDate>false</LinksUpToDate>
  <CharactersWithSpaces>183093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2020-02-18T08:41:00Z</cp:lastPrinted>
  <dcterms:created xsi:type="dcterms:W3CDTF">2020-12-25T04:48:00Z</dcterms:created>
  <dcterms:modified xsi:type="dcterms:W3CDTF">2020-12-25T04:48:00Z</dcterms:modified>
</cp:coreProperties>
</file>